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95426">
      <w:pPr>
        <w:spacing w:line="360" w:lineRule="exact"/>
        <w:jc w:val="center"/>
        <w:rPr>
          <w:rFonts w:hint="default" w:eastAsiaTheme="minorEastAsia"/>
          <w:sz w:val="28"/>
          <w:szCs w:val="28"/>
          <w:lang w:val="en-US" w:eastAsia="zh-CN"/>
        </w:rPr>
      </w:pPr>
      <w:r>
        <w:rPr>
          <w:rFonts w:hint="eastAsia"/>
          <w:b/>
          <w:bCs/>
          <w:sz w:val="28"/>
          <w:szCs w:val="28"/>
          <w:lang w:val="en-US" w:eastAsia="zh-CN"/>
        </w:rPr>
        <w:t>采购</w:t>
      </w:r>
      <w:r>
        <w:rPr>
          <w:rFonts w:hint="eastAsia"/>
          <w:b/>
          <w:bCs/>
          <w:sz w:val="28"/>
          <w:szCs w:val="28"/>
        </w:rPr>
        <w:t xml:space="preserve">合同  </w:t>
      </w:r>
      <w:r>
        <w:rPr>
          <w:rFonts w:hint="eastAsia"/>
          <w:sz w:val="28"/>
          <w:szCs w:val="28"/>
        </w:rPr>
        <w:t xml:space="preserve">                    </w:t>
      </w:r>
      <w:r>
        <w:rPr>
          <w:rFonts w:hint="eastAsia"/>
          <w:sz w:val="28"/>
          <w:szCs w:val="28"/>
        </w:rPr>
        <w:br w:type="textWrapping"/>
      </w:r>
      <w:r>
        <w:rPr>
          <w:rFonts w:hint="eastAsia"/>
          <w:sz w:val="28"/>
          <w:szCs w:val="28"/>
        </w:rPr>
        <w:t xml:space="preserve">                                 </w:t>
      </w:r>
      <w:r>
        <w:rPr>
          <w:rFonts w:hint="eastAsia"/>
          <w:sz w:val="18"/>
          <w:szCs w:val="18"/>
        </w:rPr>
        <w:t>采购单号：</w:t>
      </w:r>
      <w:r>
        <w:rPr>
          <w:sz w:val="18"/>
          <w:szCs w:val="18"/>
        </w:rPr>
        <w:t xml:space="preserve"> </w:t>
      </w:r>
      <w:r>
        <w:rPr>
          <w:sz w:val="18"/>
          <w:szCs w:val="18"/>
        </w:rPr>
        <w:br w:type="textWrapping"/>
      </w:r>
      <w:r>
        <w:rPr>
          <w:rFonts w:hint="eastAsia"/>
          <w:sz w:val="18"/>
          <w:szCs w:val="18"/>
        </w:rPr>
        <w:t xml:space="preserve">                                           </w:t>
      </w:r>
      <w:r>
        <w:rPr>
          <w:sz w:val="18"/>
          <w:szCs w:val="18"/>
        </w:rPr>
        <w:t>内控采购合同编号</w:t>
      </w:r>
      <w:r>
        <w:rPr>
          <w:rFonts w:hint="eastAsia"/>
          <w:sz w:val="18"/>
          <w:szCs w:val="18"/>
        </w:rPr>
        <w:t>：</w:t>
      </w:r>
      <w:r>
        <w:rPr>
          <w:rFonts w:hint="eastAsia"/>
          <w:sz w:val="18"/>
          <w:szCs w:val="18"/>
          <w:lang w:val="en-US" w:eastAsia="zh-CN"/>
        </w:rPr>
        <w:t>JSFY</w:t>
      </w:r>
      <w:r>
        <w:rPr>
          <w:rFonts w:hint="eastAsia"/>
          <w:sz w:val="18"/>
          <w:szCs w:val="18"/>
        </w:rPr>
        <w:t>CG2026</w:t>
      </w:r>
    </w:p>
    <w:p w14:paraId="02C884B5">
      <w:pPr>
        <w:spacing w:line="360" w:lineRule="exact"/>
        <w:rPr>
          <w:szCs w:val="21"/>
        </w:rPr>
      </w:pPr>
      <w:r>
        <w:rPr>
          <w:rFonts w:hint="eastAsia"/>
          <w:szCs w:val="21"/>
        </w:rPr>
        <w:t>需方（甲方）：</w:t>
      </w:r>
      <w:r>
        <w:rPr>
          <w:rFonts w:ascii="宋体" w:hAnsi="宋体" w:eastAsia="宋体" w:cs="宋体"/>
          <w:kern w:val="0"/>
          <w:sz w:val="24"/>
          <w:szCs w:val="24"/>
          <w:lang w:val="en-US" w:eastAsia="zh-CN" w:bidi="ar"/>
        </w:rPr>
        <w:t>江苏费因精密数控机床有限公司</w:t>
      </w:r>
    </w:p>
    <w:p w14:paraId="7BE900EB">
      <w:pPr>
        <w:spacing w:line="360" w:lineRule="exact"/>
        <w:rPr>
          <w:szCs w:val="21"/>
        </w:rPr>
      </w:pPr>
      <w:r>
        <w:rPr>
          <w:rFonts w:hint="eastAsia"/>
          <w:szCs w:val="21"/>
        </w:rPr>
        <w:t>供方（乙方）：</w:t>
      </w:r>
      <w:r>
        <w:rPr>
          <w:szCs w:val="21"/>
        </w:rPr>
        <w:t xml:space="preserve"> </w:t>
      </w:r>
    </w:p>
    <w:p w14:paraId="40BA2177">
      <w:pPr>
        <w:spacing w:line="360" w:lineRule="exact"/>
        <w:rPr>
          <w:sz w:val="18"/>
          <w:szCs w:val="18"/>
        </w:rPr>
      </w:pPr>
      <w:r>
        <w:rPr>
          <w:rFonts w:hint="eastAsia"/>
          <w:sz w:val="18"/>
          <w:szCs w:val="18"/>
        </w:rPr>
        <w:t>经</w:t>
      </w:r>
      <w:r>
        <w:rPr>
          <w:rFonts w:hint="eastAsia"/>
          <w:sz w:val="18"/>
          <w:szCs w:val="18"/>
          <w:lang w:val="en-US" w:eastAsia="zh-CN"/>
        </w:rPr>
        <w:t>甲、乙</w:t>
      </w:r>
      <w:r>
        <w:rPr>
          <w:rFonts w:hint="eastAsia"/>
          <w:sz w:val="18"/>
          <w:szCs w:val="18"/>
        </w:rPr>
        <w:t>双方友好协商签订如下合同</w:t>
      </w:r>
      <w:r>
        <w:rPr>
          <w:rFonts w:hint="eastAsia"/>
          <w:sz w:val="18"/>
          <w:szCs w:val="18"/>
          <w:lang w:eastAsia="zh-CN"/>
        </w:rPr>
        <w:t>，乙方不得将本订单转包</w:t>
      </w:r>
      <w:r>
        <w:rPr>
          <w:rFonts w:hint="eastAsia"/>
          <w:sz w:val="18"/>
          <w:szCs w:val="18"/>
        </w:rPr>
        <w:t>：</w:t>
      </w:r>
    </w:p>
    <w:p w14:paraId="1CCBF39A">
      <w:pPr>
        <w:pStyle w:val="10"/>
        <w:numPr>
          <w:ilvl w:val="0"/>
          <w:numId w:val="1"/>
        </w:numPr>
        <w:spacing w:line="360" w:lineRule="exact"/>
        <w:ind w:firstLineChars="0"/>
        <w:rPr>
          <w:sz w:val="18"/>
          <w:szCs w:val="18"/>
        </w:rPr>
      </w:pPr>
      <w:r>
        <w:rPr>
          <w:rFonts w:hint="eastAsia"/>
          <w:sz w:val="18"/>
          <w:szCs w:val="18"/>
        </w:rPr>
        <w:t>产品名称，规格，型号，数量，金额</w:t>
      </w:r>
    </w:p>
    <w:tbl>
      <w:tblPr>
        <w:tblStyle w:val="6"/>
        <w:tblW w:w="10208" w:type="dxa"/>
        <w:tblInd w:w="-17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10"/>
        <w:gridCol w:w="1701"/>
        <w:gridCol w:w="1559"/>
        <w:gridCol w:w="850"/>
        <w:gridCol w:w="709"/>
        <w:gridCol w:w="386"/>
        <w:gridCol w:w="1185"/>
        <w:gridCol w:w="1265"/>
        <w:gridCol w:w="1843"/>
      </w:tblGrid>
      <w:tr w14:paraId="67DD39B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83" w:hRule="atLeast"/>
        </w:trPr>
        <w:tc>
          <w:tcPr>
            <w:tcW w:w="710" w:type="dxa"/>
          </w:tcPr>
          <w:p w14:paraId="6641773A">
            <w:pPr>
              <w:spacing w:line="360" w:lineRule="auto"/>
              <w:jc w:val="center"/>
              <w:rPr>
                <w:sz w:val="18"/>
                <w:szCs w:val="18"/>
              </w:rPr>
            </w:pPr>
            <w:r>
              <w:rPr>
                <w:rFonts w:hint="eastAsia"/>
                <w:sz w:val="18"/>
                <w:szCs w:val="18"/>
              </w:rPr>
              <w:t>序号</w:t>
            </w:r>
          </w:p>
        </w:tc>
        <w:tc>
          <w:tcPr>
            <w:tcW w:w="1701" w:type="dxa"/>
          </w:tcPr>
          <w:p w14:paraId="322388F2">
            <w:pPr>
              <w:spacing w:line="360" w:lineRule="auto"/>
              <w:jc w:val="center"/>
              <w:rPr>
                <w:sz w:val="18"/>
                <w:szCs w:val="18"/>
              </w:rPr>
            </w:pPr>
            <w:r>
              <w:rPr>
                <w:rFonts w:hint="eastAsia"/>
                <w:sz w:val="18"/>
                <w:szCs w:val="18"/>
              </w:rPr>
              <w:t>产品描述（图号）</w:t>
            </w:r>
          </w:p>
        </w:tc>
        <w:tc>
          <w:tcPr>
            <w:tcW w:w="1559" w:type="dxa"/>
          </w:tcPr>
          <w:p w14:paraId="25D96BBE">
            <w:pPr>
              <w:spacing w:line="360" w:lineRule="auto"/>
              <w:jc w:val="center"/>
              <w:rPr>
                <w:sz w:val="18"/>
                <w:szCs w:val="18"/>
              </w:rPr>
            </w:pPr>
            <w:r>
              <w:rPr>
                <w:rFonts w:hint="eastAsia"/>
                <w:sz w:val="18"/>
                <w:szCs w:val="18"/>
              </w:rPr>
              <w:t>规格</w:t>
            </w:r>
          </w:p>
        </w:tc>
        <w:tc>
          <w:tcPr>
            <w:tcW w:w="850" w:type="dxa"/>
          </w:tcPr>
          <w:p w14:paraId="778C33C1">
            <w:pPr>
              <w:spacing w:line="360" w:lineRule="auto"/>
              <w:jc w:val="center"/>
              <w:rPr>
                <w:sz w:val="18"/>
                <w:szCs w:val="18"/>
              </w:rPr>
            </w:pPr>
            <w:r>
              <w:rPr>
                <w:rFonts w:hint="eastAsia"/>
                <w:sz w:val="18"/>
                <w:szCs w:val="18"/>
              </w:rPr>
              <w:t>数量</w:t>
            </w:r>
          </w:p>
        </w:tc>
        <w:tc>
          <w:tcPr>
            <w:tcW w:w="709" w:type="dxa"/>
          </w:tcPr>
          <w:p w14:paraId="1B10EF31">
            <w:pPr>
              <w:spacing w:line="360" w:lineRule="auto"/>
              <w:rPr>
                <w:sz w:val="18"/>
                <w:szCs w:val="18"/>
              </w:rPr>
            </w:pPr>
            <w:r>
              <w:rPr>
                <w:rFonts w:hint="eastAsia"/>
                <w:sz w:val="18"/>
                <w:szCs w:val="18"/>
              </w:rPr>
              <w:t>单位</w:t>
            </w:r>
          </w:p>
        </w:tc>
        <w:tc>
          <w:tcPr>
            <w:tcW w:w="1571" w:type="dxa"/>
            <w:gridSpan w:val="2"/>
          </w:tcPr>
          <w:p w14:paraId="1307DE2D">
            <w:pPr>
              <w:spacing w:line="360" w:lineRule="auto"/>
              <w:rPr>
                <w:sz w:val="18"/>
                <w:szCs w:val="18"/>
              </w:rPr>
            </w:pPr>
            <w:r>
              <w:rPr>
                <w:rFonts w:hint="eastAsia"/>
                <w:sz w:val="18"/>
                <w:szCs w:val="18"/>
              </w:rPr>
              <w:t xml:space="preserve"> 单价（含</w:t>
            </w:r>
            <w:r>
              <w:rPr>
                <w:rFonts w:hint="eastAsia"/>
                <w:sz w:val="18"/>
                <w:szCs w:val="18"/>
                <w:lang w:val="en-US" w:eastAsia="zh-CN"/>
              </w:rPr>
              <w:t>13%</w:t>
            </w:r>
            <w:r>
              <w:rPr>
                <w:rFonts w:hint="eastAsia"/>
                <w:sz w:val="18"/>
                <w:szCs w:val="18"/>
              </w:rPr>
              <w:t>税）</w:t>
            </w:r>
          </w:p>
        </w:tc>
        <w:tc>
          <w:tcPr>
            <w:tcW w:w="1265" w:type="dxa"/>
          </w:tcPr>
          <w:p w14:paraId="6D33757D">
            <w:pPr>
              <w:spacing w:line="360" w:lineRule="auto"/>
              <w:jc w:val="center"/>
              <w:rPr>
                <w:sz w:val="18"/>
                <w:szCs w:val="18"/>
              </w:rPr>
            </w:pPr>
            <w:r>
              <w:rPr>
                <w:rFonts w:hint="eastAsia"/>
                <w:sz w:val="18"/>
                <w:szCs w:val="18"/>
              </w:rPr>
              <w:t>金额（元）</w:t>
            </w:r>
          </w:p>
        </w:tc>
        <w:tc>
          <w:tcPr>
            <w:tcW w:w="1843" w:type="dxa"/>
          </w:tcPr>
          <w:p w14:paraId="7AD45B8C">
            <w:pPr>
              <w:spacing w:line="360" w:lineRule="auto"/>
              <w:jc w:val="center"/>
              <w:rPr>
                <w:sz w:val="18"/>
                <w:szCs w:val="18"/>
              </w:rPr>
            </w:pPr>
            <w:r>
              <w:rPr>
                <w:rFonts w:hint="eastAsia"/>
                <w:sz w:val="18"/>
                <w:szCs w:val="18"/>
              </w:rPr>
              <w:t>备注</w:t>
            </w:r>
          </w:p>
        </w:tc>
      </w:tr>
      <w:tr w14:paraId="01A853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3" w:hRule="atLeast"/>
        </w:trPr>
        <w:tc>
          <w:tcPr>
            <w:tcW w:w="710" w:type="dxa"/>
            <w:vAlign w:val="center"/>
          </w:tcPr>
          <w:p w14:paraId="651421EB">
            <w:pPr>
              <w:spacing w:line="360" w:lineRule="auto"/>
              <w:jc w:val="center"/>
              <w:rPr>
                <w:sz w:val="18"/>
                <w:szCs w:val="18"/>
              </w:rPr>
            </w:pPr>
            <w:r>
              <w:rPr>
                <w:rFonts w:hint="eastAsia"/>
                <w:sz w:val="18"/>
                <w:szCs w:val="18"/>
              </w:rPr>
              <w:t>1</w:t>
            </w:r>
          </w:p>
        </w:tc>
        <w:tc>
          <w:tcPr>
            <w:tcW w:w="1701" w:type="dxa"/>
            <w:vAlign w:val="center"/>
          </w:tcPr>
          <w:p w14:paraId="26C90D7B">
            <w:pPr>
              <w:spacing w:line="360" w:lineRule="auto"/>
              <w:jc w:val="center"/>
              <w:rPr>
                <w:rFonts w:hint="default" w:eastAsiaTheme="minorEastAsia"/>
                <w:sz w:val="18"/>
                <w:szCs w:val="18"/>
                <w:lang w:val="en-US" w:eastAsia="zh-CN"/>
              </w:rPr>
            </w:pPr>
          </w:p>
        </w:tc>
        <w:tc>
          <w:tcPr>
            <w:tcW w:w="1559" w:type="dxa"/>
          </w:tcPr>
          <w:p w14:paraId="54D74240">
            <w:pPr>
              <w:spacing w:line="360" w:lineRule="auto"/>
              <w:jc w:val="center"/>
              <w:rPr>
                <w:sz w:val="18"/>
                <w:szCs w:val="18"/>
              </w:rPr>
            </w:pPr>
          </w:p>
        </w:tc>
        <w:tc>
          <w:tcPr>
            <w:tcW w:w="850" w:type="dxa"/>
            <w:vAlign w:val="center"/>
          </w:tcPr>
          <w:p w14:paraId="7E3FA98E">
            <w:pPr>
              <w:spacing w:line="360" w:lineRule="auto"/>
              <w:jc w:val="center"/>
              <w:rPr>
                <w:rFonts w:hint="eastAsia" w:eastAsiaTheme="minorEastAsia"/>
                <w:sz w:val="18"/>
                <w:szCs w:val="18"/>
                <w:lang w:val="en-US" w:eastAsia="zh-CN"/>
              </w:rPr>
            </w:pPr>
          </w:p>
        </w:tc>
        <w:tc>
          <w:tcPr>
            <w:tcW w:w="709" w:type="dxa"/>
          </w:tcPr>
          <w:p w14:paraId="58EC4677">
            <w:pPr>
              <w:spacing w:line="360" w:lineRule="auto"/>
              <w:jc w:val="center"/>
              <w:rPr>
                <w:rFonts w:hint="eastAsia" w:eastAsiaTheme="minorEastAsia"/>
                <w:sz w:val="18"/>
                <w:szCs w:val="18"/>
                <w:lang w:val="en-US" w:eastAsia="zh-CN"/>
              </w:rPr>
            </w:pPr>
          </w:p>
        </w:tc>
        <w:tc>
          <w:tcPr>
            <w:tcW w:w="1571" w:type="dxa"/>
            <w:gridSpan w:val="2"/>
          </w:tcPr>
          <w:p w14:paraId="2A8CEE8E">
            <w:pPr>
              <w:spacing w:line="360" w:lineRule="auto"/>
              <w:jc w:val="center"/>
              <w:rPr>
                <w:rFonts w:hint="default" w:eastAsiaTheme="minorEastAsia"/>
                <w:sz w:val="18"/>
                <w:szCs w:val="18"/>
                <w:lang w:val="en-US" w:eastAsia="zh-CN"/>
              </w:rPr>
            </w:pPr>
          </w:p>
        </w:tc>
        <w:tc>
          <w:tcPr>
            <w:tcW w:w="1265" w:type="dxa"/>
            <w:vAlign w:val="center"/>
          </w:tcPr>
          <w:p w14:paraId="184F9973">
            <w:pPr>
              <w:spacing w:line="360" w:lineRule="auto"/>
              <w:jc w:val="center"/>
              <w:rPr>
                <w:rFonts w:hint="default" w:eastAsiaTheme="minorEastAsia"/>
                <w:sz w:val="18"/>
                <w:szCs w:val="18"/>
                <w:lang w:val="en-US" w:eastAsia="zh-CN"/>
              </w:rPr>
            </w:pPr>
          </w:p>
        </w:tc>
        <w:tc>
          <w:tcPr>
            <w:tcW w:w="1843" w:type="dxa"/>
          </w:tcPr>
          <w:p w14:paraId="5BFE0868">
            <w:pPr>
              <w:spacing w:line="360" w:lineRule="auto"/>
              <w:jc w:val="center"/>
              <w:rPr>
                <w:sz w:val="18"/>
                <w:szCs w:val="18"/>
              </w:rPr>
            </w:pPr>
          </w:p>
        </w:tc>
      </w:tr>
      <w:tr w14:paraId="13FA3DD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73" w:hRule="atLeast"/>
        </w:trPr>
        <w:tc>
          <w:tcPr>
            <w:tcW w:w="710" w:type="dxa"/>
            <w:vAlign w:val="center"/>
          </w:tcPr>
          <w:p w14:paraId="68C94477">
            <w:pPr>
              <w:spacing w:line="360" w:lineRule="auto"/>
              <w:jc w:val="center"/>
              <w:rPr>
                <w:sz w:val="18"/>
                <w:szCs w:val="18"/>
              </w:rPr>
            </w:pPr>
          </w:p>
        </w:tc>
        <w:tc>
          <w:tcPr>
            <w:tcW w:w="1701" w:type="dxa"/>
            <w:vAlign w:val="center"/>
          </w:tcPr>
          <w:p w14:paraId="4F49533D">
            <w:pPr>
              <w:spacing w:line="360" w:lineRule="auto"/>
              <w:jc w:val="center"/>
              <w:rPr>
                <w:sz w:val="18"/>
                <w:szCs w:val="18"/>
              </w:rPr>
            </w:pPr>
            <w:r>
              <w:rPr>
                <w:rFonts w:hint="eastAsia"/>
                <w:sz w:val="18"/>
                <w:szCs w:val="18"/>
              </w:rPr>
              <w:t>合     计（大写）</w:t>
            </w:r>
          </w:p>
        </w:tc>
        <w:tc>
          <w:tcPr>
            <w:tcW w:w="3504" w:type="dxa"/>
            <w:gridSpan w:val="4"/>
          </w:tcPr>
          <w:p w14:paraId="7C48BDE4">
            <w:pPr>
              <w:spacing w:line="360" w:lineRule="auto"/>
              <w:jc w:val="center"/>
              <w:rPr>
                <w:rFonts w:hint="default" w:eastAsiaTheme="minorEastAsia"/>
                <w:sz w:val="18"/>
                <w:szCs w:val="18"/>
                <w:lang w:val="en-US" w:eastAsia="zh-CN"/>
              </w:rPr>
            </w:pPr>
          </w:p>
        </w:tc>
        <w:tc>
          <w:tcPr>
            <w:tcW w:w="4293" w:type="dxa"/>
            <w:gridSpan w:val="3"/>
          </w:tcPr>
          <w:p w14:paraId="426F3A4D">
            <w:pPr>
              <w:spacing w:line="360" w:lineRule="auto"/>
              <w:jc w:val="both"/>
              <w:rPr>
                <w:sz w:val="18"/>
                <w:szCs w:val="18"/>
              </w:rPr>
            </w:pPr>
            <w:r>
              <w:rPr>
                <w:rFonts w:hint="eastAsia"/>
                <w:sz w:val="18"/>
                <w:szCs w:val="18"/>
                <w:lang w:val="en-US" w:eastAsia="zh-CN"/>
              </w:rPr>
              <w:t xml:space="preserve">        </w:t>
            </w:r>
            <w:bookmarkStart w:id="0" w:name="_GoBack"/>
            <w:bookmarkEnd w:id="0"/>
            <w:r>
              <w:rPr>
                <w:rFonts w:hint="eastAsia"/>
                <w:sz w:val="18"/>
                <w:szCs w:val="18"/>
              </w:rPr>
              <w:t>含</w:t>
            </w:r>
            <w:r>
              <w:rPr>
                <w:rFonts w:hint="eastAsia"/>
                <w:color w:val="auto"/>
                <w:sz w:val="18"/>
                <w:szCs w:val="18"/>
              </w:rPr>
              <w:t>13点增值税专用发票</w:t>
            </w:r>
            <w:r>
              <w:rPr>
                <w:rFonts w:hint="eastAsia"/>
                <w:sz w:val="18"/>
                <w:szCs w:val="18"/>
              </w:rPr>
              <w:t>含运费</w:t>
            </w:r>
          </w:p>
        </w:tc>
      </w:tr>
    </w:tbl>
    <w:p w14:paraId="307DC187">
      <w:pPr>
        <w:pStyle w:val="10"/>
        <w:numPr>
          <w:ilvl w:val="0"/>
          <w:numId w:val="0"/>
        </w:numPr>
        <w:spacing w:line="360" w:lineRule="exact"/>
        <w:ind w:leftChars="0"/>
        <w:rPr>
          <w:sz w:val="18"/>
          <w:szCs w:val="18"/>
        </w:rPr>
      </w:pPr>
    </w:p>
    <w:p w14:paraId="75743E88">
      <w:pPr>
        <w:pStyle w:val="10"/>
        <w:numPr>
          <w:ilvl w:val="0"/>
          <w:numId w:val="1"/>
        </w:numPr>
        <w:spacing w:line="360" w:lineRule="exact"/>
        <w:ind w:firstLineChars="0"/>
        <w:rPr>
          <w:sz w:val="18"/>
          <w:szCs w:val="18"/>
        </w:rPr>
      </w:pPr>
      <w:r>
        <w:rPr>
          <w:rFonts w:hint="eastAsia"/>
          <w:sz w:val="18"/>
          <w:szCs w:val="18"/>
        </w:rPr>
        <w:t>交货时间：</w:t>
      </w:r>
      <w:r>
        <w:rPr>
          <w:rFonts w:hint="eastAsia"/>
          <w:sz w:val="18"/>
          <w:szCs w:val="18"/>
          <w:lang w:val="en-US" w:eastAsia="zh-CN"/>
        </w:rPr>
        <w:t xml:space="preserve">  年</w:t>
      </w:r>
      <w:r>
        <w:rPr>
          <w:rFonts w:hint="eastAsia"/>
          <w:sz w:val="18"/>
          <w:szCs w:val="18"/>
        </w:rPr>
        <w:t xml:space="preserve"> </w:t>
      </w:r>
      <w:r>
        <w:rPr>
          <w:rFonts w:hint="eastAsia"/>
          <w:sz w:val="18"/>
          <w:szCs w:val="18"/>
          <w:lang w:val="en-US" w:eastAsia="zh-CN"/>
        </w:rPr>
        <w:t xml:space="preserve"> </w:t>
      </w:r>
      <w:r>
        <w:rPr>
          <w:rFonts w:hint="eastAsia"/>
          <w:sz w:val="18"/>
          <w:szCs w:val="18"/>
        </w:rPr>
        <w:t xml:space="preserve">月  </w:t>
      </w:r>
      <w:r>
        <w:rPr>
          <w:sz w:val="18"/>
          <w:szCs w:val="18"/>
        </w:rPr>
        <w:t xml:space="preserve"> </w:t>
      </w:r>
      <w:r>
        <w:rPr>
          <w:rFonts w:hint="eastAsia"/>
          <w:sz w:val="18"/>
          <w:szCs w:val="18"/>
        </w:rPr>
        <w:t>日。如乙方无法按期交货，乙方每逾期一天交货，将按</w:t>
      </w:r>
      <w:r>
        <w:rPr>
          <w:rFonts w:hint="eastAsia"/>
          <w:sz w:val="18"/>
          <w:szCs w:val="18"/>
          <w:lang w:val="en-US" w:eastAsia="zh-CN"/>
        </w:rPr>
        <w:t>合同总</w:t>
      </w:r>
      <w:r>
        <w:rPr>
          <w:rFonts w:hint="eastAsia"/>
          <w:sz w:val="18"/>
          <w:szCs w:val="18"/>
        </w:rPr>
        <w:t>金额的1%/天给甲方进行赔偿。</w:t>
      </w:r>
    </w:p>
    <w:p w14:paraId="001445B4">
      <w:pPr>
        <w:pStyle w:val="10"/>
        <w:numPr>
          <w:ilvl w:val="0"/>
          <w:numId w:val="1"/>
        </w:numPr>
        <w:spacing w:line="360" w:lineRule="exact"/>
        <w:ind w:firstLineChars="0"/>
        <w:rPr>
          <w:color w:val="auto"/>
          <w:sz w:val="18"/>
          <w:szCs w:val="18"/>
        </w:rPr>
      </w:pPr>
      <w:r>
        <w:rPr>
          <w:rFonts w:hint="eastAsia"/>
          <w:color w:val="auto"/>
          <w:sz w:val="18"/>
          <w:szCs w:val="18"/>
        </w:rPr>
        <w:t>付款方式：货到齐后，乙方在20日前将票开出，票到后3个月付款。甲方按开票日期起算结算时间，逾期开票甲方将延期1个月付款（需验收质量合格后开票）</w:t>
      </w:r>
      <w:r>
        <w:rPr>
          <w:rFonts w:hint="eastAsia"/>
          <w:color w:val="auto"/>
          <w:sz w:val="18"/>
          <w:szCs w:val="18"/>
          <w:lang w:eastAsia="zh-CN"/>
        </w:rPr>
        <w:t>。</w:t>
      </w:r>
      <w:r>
        <w:rPr>
          <w:rFonts w:ascii="宋体" w:hAnsi="宋体" w:eastAsia="宋体" w:cs="宋体"/>
          <w:color w:val="auto"/>
          <w:sz w:val="18"/>
          <w:szCs w:val="18"/>
        </w:rPr>
        <w:t>合同中不含税价不因国家税收政策变化而变化；若在合同履行期间,遇国家税收政策调整，在原不含税金额不变的基础上,按照新税率重新计算含税价,并且继续履行</w:t>
      </w:r>
      <w:r>
        <w:rPr>
          <w:rFonts w:hint="eastAsia" w:ascii="宋体" w:hAnsi="宋体" w:eastAsia="宋体" w:cs="宋体"/>
          <w:color w:val="auto"/>
          <w:sz w:val="18"/>
          <w:szCs w:val="18"/>
          <w:lang w:eastAsia="zh-CN"/>
        </w:rPr>
        <w:t>。</w:t>
      </w:r>
      <w:r>
        <w:rPr>
          <w:rFonts w:hint="eastAsia" w:ascii="宋体" w:hAnsi="宋体" w:eastAsia="宋体" w:cs="宋体"/>
          <w:color w:val="auto"/>
          <w:sz w:val="18"/>
          <w:szCs w:val="18"/>
          <w:lang w:val="en-US" w:eastAsia="zh-CN"/>
        </w:rPr>
        <w:t>若</w:t>
      </w:r>
      <w:r>
        <w:rPr>
          <w:rFonts w:ascii="宋体" w:hAnsi="宋体" w:eastAsia="宋体" w:cs="宋体"/>
          <w:color w:val="auto"/>
          <w:sz w:val="18"/>
          <w:szCs w:val="18"/>
        </w:rPr>
        <w:t>合同中已履行部分，应在新政策过渡期内及时开具发票；对于合同中未履行部分,在原不含税金额不变的基础上,按照新税率重新计算含税价,并且继续履行</w:t>
      </w:r>
      <w:r>
        <w:rPr>
          <w:rFonts w:hint="eastAsia" w:ascii="宋体" w:hAnsi="宋体" w:eastAsia="宋体" w:cs="宋体"/>
          <w:color w:val="auto"/>
          <w:sz w:val="18"/>
          <w:szCs w:val="18"/>
          <w:lang w:eastAsia="zh-CN"/>
        </w:rPr>
        <w:t>。</w:t>
      </w:r>
    </w:p>
    <w:p w14:paraId="510AC469">
      <w:pPr>
        <w:pStyle w:val="10"/>
        <w:numPr>
          <w:ilvl w:val="0"/>
          <w:numId w:val="1"/>
        </w:numPr>
        <w:spacing w:line="360" w:lineRule="exact"/>
        <w:ind w:firstLineChars="0"/>
        <w:rPr>
          <w:color w:val="auto"/>
          <w:sz w:val="18"/>
          <w:szCs w:val="18"/>
        </w:rPr>
      </w:pPr>
      <w:r>
        <w:rPr>
          <w:rFonts w:hint="eastAsia"/>
          <w:color w:val="auto"/>
          <w:sz w:val="18"/>
          <w:szCs w:val="18"/>
        </w:rPr>
        <w:t>发货方式：送货至甲方指定仓库：江苏省淮安市盱眙县太和街道经济开发区香樟路与圣山路交汇处智造装备产业园8号厂房</w:t>
      </w:r>
      <w:r>
        <w:rPr>
          <w:rFonts w:hint="eastAsia"/>
          <w:color w:val="auto"/>
          <w:sz w:val="18"/>
          <w:szCs w:val="18"/>
          <w:lang w:eastAsia="zh-CN"/>
        </w:rPr>
        <w:t>，</w:t>
      </w:r>
      <w:r>
        <w:rPr>
          <w:rFonts w:hint="eastAsia"/>
          <w:color w:val="auto"/>
          <w:sz w:val="18"/>
          <w:szCs w:val="18"/>
          <w:lang w:val="en-US" w:eastAsia="zh-CN"/>
        </w:rPr>
        <w:t>收货人夏晓云18952388902</w:t>
      </w:r>
      <w:r>
        <w:rPr>
          <w:rFonts w:hint="eastAsia"/>
          <w:color w:val="auto"/>
          <w:sz w:val="18"/>
          <w:szCs w:val="18"/>
        </w:rPr>
        <w:t>(费用由乙方承担)。</w:t>
      </w:r>
      <w:r>
        <w:rPr>
          <w:rFonts w:hint="eastAsia"/>
          <w:color w:val="auto"/>
          <w:sz w:val="18"/>
          <w:szCs w:val="18"/>
          <w:lang w:val="en-US" w:eastAsia="zh-CN"/>
        </w:rPr>
        <w:t>货物至甲方指定仓库前，货物的毁损、灭失风险由乙方承担。</w:t>
      </w:r>
    </w:p>
    <w:p w14:paraId="6E9ED4BC">
      <w:pPr>
        <w:pStyle w:val="10"/>
        <w:numPr>
          <w:ilvl w:val="0"/>
          <w:numId w:val="1"/>
        </w:numPr>
        <w:spacing w:line="360" w:lineRule="exact"/>
        <w:ind w:firstLineChars="0"/>
        <w:rPr>
          <w:color w:val="auto"/>
          <w:sz w:val="18"/>
          <w:szCs w:val="18"/>
        </w:rPr>
      </w:pPr>
      <w:r>
        <w:rPr>
          <w:rFonts w:hint="eastAsia"/>
          <w:color w:val="auto"/>
          <w:sz w:val="18"/>
          <w:szCs w:val="18"/>
        </w:rPr>
        <w:t>验收方式及售后处理：乙方出厂前必须检验合格后才可送货，甲方对乙方所供的每批货品进行验收，并于5个工作日内提出数量和外观等问题。质保期为甲方收到货物后的12个月。因质量问题所造成的费用损失（包括因质量问题产生的客户现场的售服费用）由乙方承担。</w:t>
      </w:r>
      <w:r>
        <w:rPr>
          <w:rFonts w:hint="eastAsia"/>
          <w:color w:val="auto"/>
          <w:sz w:val="18"/>
          <w:szCs w:val="18"/>
          <w:lang w:val="en-US" w:eastAsia="zh-CN"/>
        </w:rPr>
        <w:t>质保期内发现质量问题或不能达到检验标准的，甲方有权要求乙方退、换货，并自甲方收到新货物后重新开始计算12个月的质保期。</w:t>
      </w:r>
    </w:p>
    <w:p w14:paraId="65AC5247">
      <w:pPr>
        <w:pStyle w:val="10"/>
        <w:keepNext w:val="0"/>
        <w:keepLines w:val="0"/>
        <w:pageBreakBefore w:val="0"/>
        <w:widowControl w:val="0"/>
        <w:numPr>
          <w:ilvl w:val="0"/>
          <w:numId w:val="1"/>
        </w:numPr>
        <w:kinsoku/>
        <w:wordWrap/>
        <w:overflowPunct/>
        <w:topLinePunct w:val="0"/>
        <w:autoSpaceDE/>
        <w:autoSpaceDN/>
        <w:bidi w:val="0"/>
        <w:adjustRightInd/>
        <w:snapToGrid/>
        <w:spacing w:line="400" w:lineRule="atLeast"/>
        <w:ind w:firstLineChars="0"/>
        <w:textAlignment w:val="auto"/>
        <w:rPr>
          <w:color w:val="auto"/>
          <w:sz w:val="18"/>
          <w:szCs w:val="18"/>
        </w:rPr>
      </w:pPr>
      <w:r>
        <w:rPr>
          <w:rFonts w:hint="eastAsia"/>
          <w:color w:val="auto"/>
          <w:sz w:val="18"/>
          <w:szCs w:val="18"/>
        </w:rPr>
        <w:t>保密条款：本合同所称“保密信息”是指甲方向乙方在合同履行过程中披露的、与本次采购相关的、未公开的技术、商业或经营信息 。乙方同意：仅为本合同项下零件采购之目的使用保密信息；不得向任何第三方泄露保密信息，但为履行合同而有必要知悉的雇员、顾问、分包商除外，且乙方须确保上述人员承担不低于本条款的保密义务；采取至少与其保护自身同类保密信息同等程度（且不低于合理注意程度）的保护措施。乙方不得对保密信息进行反向工程、拆解、复制或用于任何商业开发。本保密义务自披露之日起持续有效。在本合同终止或披露方书面要求时，乙方应：归还所有含有保密信息的实体载体（图纸、文件、存储介质等）；永久删除电子形式的保密信息，并提供书面销毁或删除证明。若乙方违反本保密条款，应赔偿甲方因此遭受的全部直接及间接损失（包括但不限于调查费、律师费、诉讼费、商誉损失、技术价值损失等）。甲方</w:t>
      </w:r>
      <w:r>
        <w:rPr>
          <w:rFonts w:hint="eastAsia"/>
          <w:color w:val="auto"/>
          <w:sz w:val="18"/>
          <w:szCs w:val="18"/>
          <w:lang w:val="en-US" w:eastAsia="zh-CN"/>
        </w:rPr>
        <w:t>有</w:t>
      </w:r>
      <w:r>
        <w:rPr>
          <w:rFonts w:hint="eastAsia"/>
          <w:color w:val="auto"/>
          <w:sz w:val="18"/>
          <w:szCs w:val="18"/>
        </w:rPr>
        <w:t>权在不影响其他救济措施的前提下，单方解除合同。本保密条款独立于合同其他条款，合同无效、变更、解除或终止不影响本条款的效力。</w:t>
      </w:r>
    </w:p>
    <w:p w14:paraId="5F3F43A6">
      <w:pPr>
        <w:pStyle w:val="10"/>
        <w:numPr>
          <w:ilvl w:val="0"/>
          <w:numId w:val="0"/>
        </w:numPr>
        <w:spacing w:line="360" w:lineRule="exact"/>
        <w:ind w:leftChars="0"/>
        <w:rPr>
          <w:color w:val="auto"/>
          <w:sz w:val="18"/>
          <w:szCs w:val="18"/>
        </w:rPr>
      </w:pPr>
    </w:p>
    <w:p w14:paraId="1302CF4B">
      <w:pPr>
        <w:pStyle w:val="10"/>
        <w:numPr>
          <w:ilvl w:val="0"/>
          <w:numId w:val="1"/>
        </w:numPr>
        <w:spacing w:line="360" w:lineRule="exact"/>
        <w:ind w:firstLineChars="0"/>
        <w:rPr>
          <w:color w:val="auto"/>
          <w:sz w:val="18"/>
          <w:szCs w:val="18"/>
        </w:rPr>
      </w:pPr>
      <w:r>
        <w:rPr>
          <w:rFonts w:hint="eastAsia"/>
          <w:color w:val="auto"/>
          <w:sz w:val="18"/>
          <w:szCs w:val="18"/>
        </w:rPr>
        <w:t>违约责任：按《</w:t>
      </w:r>
      <w:r>
        <w:rPr>
          <w:rFonts w:hint="eastAsia"/>
          <w:color w:val="auto"/>
          <w:sz w:val="18"/>
          <w:szCs w:val="18"/>
          <w:lang w:val="en-US" w:eastAsia="zh-CN"/>
        </w:rPr>
        <w:t>中华人民共和国民法典</w:t>
      </w:r>
      <w:r>
        <w:rPr>
          <w:rFonts w:hint="eastAsia"/>
          <w:color w:val="auto"/>
          <w:sz w:val="18"/>
          <w:szCs w:val="18"/>
        </w:rPr>
        <w:t>》</w:t>
      </w:r>
      <w:r>
        <w:rPr>
          <w:rFonts w:hint="eastAsia"/>
          <w:color w:val="auto"/>
          <w:sz w:val="18"/>
          <w:szCs w:val="18"/>
          <w:lang w:val="en-US" w:eastAsia="zh-CN"/>
        </w:rPr>
        <w:t>及相关法律、法规规定</w:t>
      </w:r>
      <w:r>
        <w:rPr>
          <w:rFonts w:hint="eastAsia"/>
          <w:color w:val="auto"/>
          <w:sz w:val="18"/>
          <w:szCs w:val="18"/>
        </w:rPr>
        <w:t>执行。</w:t>
      </w:r>
    </w:p>
    <w:p w14:paraId="67F3A8CE">
      <w:pPr>
        <w:pStyle w:val="10"/>
        <w:numPr>
          <w:ilvl w:val="0"/>
          <w:numId w:val="1"/>
        </w:numPr>
        <w:spacing w:line="360" w:lineRule="exact"/>
        <w:ind w:firstLineChars="0"/>
        <w:rPr>
          <w:color w:val="auto"/>
          <w:sz w:val="18"/>
          <w:szCs w:val="18"/>
        </w:rPr>
      </w:pPr>
      <w:r>
        <w:rPr>
          <w:rFonts w:hint="eastAsia"/>
          <w:color w:val="auto"/>
          <w:sz w:val="18"/>
          <w:szCs w:val="18"/>
        </w:rPr>
        <w:t>合同争议的解决方式：本合同在履行过程中发生的争议，由双方当事人协商解决</w:t>
      </w:r>
      <w:r>
        <w:rPr>
          <w:rFonts w:hint="eastAsia"/>
          <w:color w:val="auto"/>
          <w:sz w:val="18"/>
          <w:szCs w:val="18"/>
          <w:lang w:eastAsia="zh-CN"/>
        </w:rPr>
        <w:t>，</w:t>
      </w:r>
      <w:r>
        <w:rPr>
          <w:rFonts w:hint="eastAsia"/>
          <w:color w:val="auto"/>
          <w:sz w:val="18"/>
          <w:szCs w:val="18"/>
        </w:rPr>
        <w:t>协商不成的，依法向甲方所在地人民法院起诉。</w:t>
      </w:r>
    </w:p>
    <w:tbl>
      <w:tblPr>
        <w:tblStyle w:val="6"/>
        <w:tblpPr w:leftFromText="180" w:rightFromText="180" w:vertAnchor="text" w:horzAnchor="page" w:tblpX="1725" w:tblpY="1353"/>
        <w:tblW w:w="9923"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4962"/>
        <w:gridCol w:w="4961"/>
      </w:tblGrid>
      <w:tr w14:paraId="54E05F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925" w:hRule="atLeast"/>
        </w:trPr>
        <w:tc>
          <w:tcPr>
            <w:tcW w:w="4962" w:type="dxa"/>
            <w:vAlign w:val="center"/>
          </w:tcPr>
          <w:p w14:paraId="3901B61D">
            <w:pPr>
              <w:spacing w:line="360" w:lineRule="exact"/>
              <w:jc w:val="center"/>
              <w:rPr>
                <w:color w:val="auto"/>
                <w:szCs w:val="21"/>
              </w:rPr>
            </w:pPr>
            <w:r>
              <w:rPr>
                <w:rFonts w:hint="eastAsia"/>
                <w:color w:val="auto"/>
                <w:szCs w:val="21"/>
              </w:rPr>
              <w:t>甲方</w:t>
            </w:r>
          </w:p>
          <w:p w14:paraId="10729D67">
            <w:pPr>
              <w:keepNext w:val="0"/>
              <w:keepLines w:val="0"/>
              <w:widowControl/>
              <w:suppressLineNumbers w:val="0"/>
              <w:jc w:val="left"/>
              <w:rPr>
                <w:color w:val="auto"/>
                <w:szCs w:val="21"/>
              </w:rPr>
            </w:pPr>
            <w:r>
              <w:rPr>
                <w:rFonts w:hint="eastAsia"/>
                <w:color w:val="auto"/>
                <w:szCs w:val="21"/>
              </w:rPr>
              <w:t>单位名称：</w:t>
            </w:r>
            <w:r>
              <w:rPr>
                <w:rFonts w:ascii="宋体" w:hAnsi="宋体" w:eastAsia="宋体" w:cs="宋体"/>
                <w:kern w:val="0"/>
                <w:sz w:val="24"/>
                <w:szCs w:val="24"/>
                <w:lang w:val="en-US" w:eastAsia="zh-CN" w:bidi="ar"/>
              </w:rPr>
              <w:t>江苏费因精密数控机床有限公司</w:t>
            </w:r>
          </w:p>
          <w:p w14:paraId="6566F2B7">
            <w:pPr>
              <w:keepNext w:val="0"/>
              <w:keepLines w:val="0"/>
              <w:widowControl/>
              <w:suppressLineNumbers w:val="0"/>
              <w:jc w:val="left"/>
              <w:rPr>
                <w:color w:val="auto"/>
                <w:szCs w:val="21"/>
              </w:rPr>
            </w:pPr>
            <w:r>
              <w:rPr>
                <w:rFonts w:hint="eastAsia"/>
                <w:color w:val="auto"/>
                <w:szCs w:val="21"/>
              </w:rPr>
              <w:t>地址：</w:t>
            </w:r>
            <w:r>
              <w:rPr>
                <w:rFonts w:ascii="宋体" w:hAnsi="宋体" w:eastAsia="宋体" w:cs="宋体"/>
                <w:kern w:val="0"/>
                <w:sz w:val="24"/>
                <w:szCs w:val="24"/>
                <w:lang w:val="en-US" w:eastAsia="zh-CN" w:bidi="ar"/>
              </w:rPr>
              <w:t>盱眙经济开发区 香樟路与圣山路交汇处智造装备产业</w:t>
            </w:r>
          </w:p>
          <w:p w14:paraId="07749FCD">
            <w:pPr>
              <w:spacing w:line="360" w:lineRule="exact"/>
              <w:rPr>
                <w:color w:val="auto"/>
                <w:szCs w:val="21"/>
              </w:rPr>
            </w:pPr>
            <w:r>
              <w:rPr>
                <w:rFonts w:hint="eastAsia"/>
                <w:color w:val="auto"/>
                <w:szCs w:val="21"/>
              </w:rPr>
              <w:t>法人代表：</w:t>
            </w:r>
          </w:p>
          <w:p w14:paraId="17584B9E">
            <w:pPr>
              <w:spacing w:line="360" w:lineRule="exact"/>
              <w:rPr>
                <w:color w:val="auto"/>
                <w:szCs w:val="21"/>
              </w:rPr>
            </w:pPr>
            <w:r>
              <w:rPr>
                <w:rFonts w:hint="eastAsia"/>
                <w:color w:val="auto"/>
                <w:szCs w:val="21"/>
              </w:rPr>
              <w:t>委托代理人：</w:t>
            </w:r>
          </w:p>
          <w:p w14:paraId="57B9150C">
            <w:pPr>
              <w:spacing w:line="360" w:lineRule="exact"/>
              <w:rPr>
                <w:color w:val="auto"/>
                <w:szCs w:val="21"/>
              </w:rPr>
            </w:pPr>
            <w:r>
              <w:rPr>
                <w:rFonts w:hint="eastAsia"/>
                <w:color w:val="auto"/>
                <w:szCs w:val="21"/>
              </w:rPr>
              <w:t>电话：</w:t>
            </w:r>
            <w:r>
              <w:rPr>
                <w:rFonts w:ascii="宋体" w:hAnsi="宋体" w:eastAsia="宋体" w:cs="宋体"/>
                <w:sz w:val="24"/>
                <w:szCs w:val="24"/>
              </w:rPr>
              <w:t>025-52440430</w:t>
            </w:r>
          </w:p>
          <w:p w14:paraId="4E1F240E">
            <w:pPr>
              <w:keepNext w:val="0"/>
              <w:keepLines w:val="0"/>
              <w:widowControl/>
              <w:suppressLineNumbers w:val="0"/>
              <w:jc w:val="left"/>
              <w:rPr>
                <w:rFonts w:ascii="宋体" w:hAnsi="宋体" w:eastAsia="宋体" w:cs="宋体"/>
                <w:sz w:val="24"/>
                <w:szCs w:val="24"/>
              </w:rPr>
            </w:pPr>
            <w:r>
              <w:rPr>
                <w:rFonts w:hint="eastAsia"/>
                <w:color w:val="auto"/>
                <w:szCs w:val="21"/>
              </w:rPr>
              <w:t>开户行：</w:t>
            </w:r>
            <w:r>
              <w:rPr>
                <w:rFonts w:ascii="宋体" w:hAnsi="宋体" w:eastAsia="宋体" w:cs="宋体"/>
                <w:kern w:val="0"/>
                <w:sz w:val="24"/>
                <w:szCs w:val="24"/>
                <w:lang w:val="en-US" w:eastAsia="zh-CN" w:bidi="ar"/>
              </w:rPr>
              <w:t>南京银行股份有限公司盱眙支行</w:t>
            </w:r>
          </w:p>
          <w:p w14:paraId="22B87C1F">
            <w:pPr>
              <w:keepNext w:val="0"/>
              <w:keepLines w:val="0"/>
              <w:widowControl/>
              <w:suppressLineNumbers w:val="0"/>
              <w:jc w:val="left"/>
              <w:rPr>
                <w:color w:val="auto"/>
                <w:szCs w:val="21"/>
              </w:rPr>
            </w:pPr>
            <w:r>
              <w:rPr>
                <w:rFonts w:hint="eastAsia"/>
                <w:color w:val="auto"/>
                <w:szCs w:val="21"/>
              </w:rPr>
              <w:t>账号：</w:t>
            </w:r>
            <w:r>
              <w:rPr>
                <w:rFonts w:ascii="宋体" w:hAnsi="宋体" w:eastAsia="宋体" w:cs="宋体"/>
                <w:kern w:val="0"/>
                <w:sz w:val="24"/>
                <w:szCs w:val="24"/>
                <w:lang w:val="en-US" w:eastAsia="zh-CN" w:bidi="ar"/>
              </w:rPr>
              <w:t>1709220000000866</w:t>
            </w:r>
          </w:p>
          <w:p w14:paraId="48CDE15F">
            <w:pPr>
              <w:spacing w:line="360" w:lineRule="exact"/>
              <w:rPr>
                <w:color w:val="auto"/>
                <w:szCs w:val="21"/>
              </w:rPr>
            </w:pPr>
            <w:r>
              <w:rPr>
                <w:rFonts w:hint="eastAsia"/>
                <w:color w:val="auto"/>
                <w:szCs w:val="21"/>
              </w:rPr>
              <w:t>日期：</w:t>
            </w:r>
          </w:p>
        </w:tc>
        <w:tc>
          <w:tcPr>
            <w:tcW w:w="4961" w:type="dxa"/>
            <w:vAlign w:val="center"/>
          </w:tcPr>
          <w:p w14:paraId="091295A6">
            <w:pPr>
              <w:spacing w:line="360" w:lineRule="exact"/>
              <w:jc w:val="center"/>
              <w:rPr>
                <w:rFonts w:hint="eastAsia" w:eastAsiaTheme="minorEastAsia"/>
                <w:color w:val="auto"/>
                <w:szCs w:val="21"/>
                <w:lang w:val="en-US" w:eastAsia="zh-CN"/>
              </w:rPr>
            </w:pPr>
            <w:r>
              <w:rPr>
                <w:rFonts w:hint="eastAsia"/>
                <w:color w:val="auto"/>
                <w:szCs w:val="21"/>
              </w:rPr>
              <w:t>乙</w:t>
            </w:r>
            <w:r>
              <w:rPr>
                <w:rFonts w:hint="eastAsia"/>
                <w:color w:val="auto"/>
                <w:szCs w:val="21"/>
                <w:lang w:val="en-US" w:eastAsia="zh-CN"/>
              </w:rPr>
              <w:t>方</w:t>
            </w:r>
          </w:p>
          <w:p w14:paraId="3A61054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rPr>
                <w:rFonts w:hint="eastAsia"/>
                <w:color w:val="auto"/>
                <w:szCs w:val="21"/>
              </w:rPr>
            </w:pPr>
            <w:r>
              <w:rPr>
                <w:rFonts w:hint="eastAsia"/>
                <w:color w:val="auto"/>
                <w:szCs w:val="21"/>
              </w:rPr>
              <w:t>单位名称：</w:t>
            </w:r>
          </w:p>
          <w:p w14:paraId="6B212F2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rPr>
                <w:rFonts w:hint="eastAsia"/>
                <w:color w:val="auto"/>
                <w:szCs w:val="21"/>
              </w:rPr>
            </w:pPr>
            <w:r>
              <w:rPr>
                <w:rFonts w:hint="eastAsia"/>
                <w:color w:val="auto"/>
                <w:szCs w:val="21"/>
              </w:rPr>
              <w:t>地址：</w:t>
            </w:r>
          </w:p>
          <w:p w14:paraId="46CB7147">
            <w:pPr>
              <w:spacing w:line="360" w:lineRule="exact"/>
              <w:rPr>
                <w:color w:val="auto"/>
                <w:szCs w:val="21"/>
              </w:rPr>
            </w:pPr>
            <w:r>
              <w:rPr>
                <w:rFonts w:hint="eastAsia"/>
                <w:color w:val="auto"/>
                <w:szCs w:val="21"/>
              </w:rPr>
              <w:t xml:space="preserve">法人代表： </w:t>
            </w:r>
          </w:p>
          <w:p w14:paraId="61A379CC">
            <w:pPr>
              <w:spacing w:line="360" w:lineRule="exact"/>
              <w:rPr>
                <w:color w:val="auto"/>
                <w:szCs w:val="21"/>
              </w:rPr>
            </w:pPr>
            <w:r>
              <w:rPr>
                <w:rFonts w:hint="eastAsia"/>
                <w:color w:val="auto"/>
                <w:szCs w:val="21"/>
              </w:rPr>
              <w:t>委托代理人：</w:t>
            </w:r>
          </w:p>
          <w:p w14:paraId="71C4B1DD">
            <w:pPr>
              <w:spacing w:line="360" w:lineRule="exact"/>
              <w:rPr>
                <w:rFonts w:hint="eastAsia"/>
                <w:color w:val="auto"/>
                <w:szCs w:val="21"/>
              </w:rPr>
            </w:pPr>
            <w:r>
              <w:rPr>
                <w:rFonts w:hint="eastAsia"/>
                <w:color w:val="auto"/>
                <w:szCs w:val="21"/>
              </w:rPr>
              <w:t>电话：</w:t>
            </w:r>
          </w:p>
          <w:p w14:paraId="6490D93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rPr>
                <w:color w:val="auto"/>
                <w:szCs w:val="21"/>
              </w:rPr>
            </w:pPr>
            <w:r>
              <w:rPr>
                <w:rFonts w:hint="eastAsia"/>
                <w:color w:val="auto"/>
                <w:szCs w:val="21"/>
                <w:lang w:val="en-US" w:eastAsia="zh-CN"/>
              </w:rPr>
              <w:t>开户行：</w:t>
            </w:r>
            <w:r>
              <w:rPr>
                <w:color w:val="auto"/>
                <w:szCs w:val="21"/>
              </w:rPr>
              <w:t xml:space="preserve"> </w:t>
            </w:r>
            <w:r>
              <w:rPr>
                <w:rFonts w:hint="eastAsia"/>
                <w:color w:val="auto"/>
                <w:szCs w:val="21"/>
              </w:rPr>
              <w:t xml:space="preserve"> </w:t>
            </w:r>
          </w:p>
          <w:p w14:paraId="71E3CB0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ind w:left="0" w:right="0" w:firstLine="0"/>
              <w:rPr>
                <w:color w:val="auto"/>
                <w:szCs w:val="21"/>
              </w:rPr>
            </w:pPr>
            <w:r>
              <w:rPr>
                <w:rFonts w:hint="eastAsia"/>
                <w:color w:val="auto"/>
                <w:szCs w:val="21"/>
              </w:rPr>
              <w:t>账号：</w:t>
            </w:r>
          </w:p>
          <w:p w14:paraId="0F4EB2E2">
            <w:pPr>
              <w:spacing w:line="360" w:lineRule="exact"/>
              <w:rPr>
                <w:rFonts w:hint="default" w:eastAsiaTheme="minorEastAsia"/>
                <w:color w:val="auto"/>
                <w:szCs w:val="21"/>
                <w:lang w:val="en-US" w:eastAsia="zh-CN"/>
              </w:rPr>
            </w:pPr>
            <w:r>
              <w:rPr>
                <w:rFonts w:hint="eastAsia"/>
                <w:color w:val="auto"/>
                <w:szCs w:val="21"/>
              </w:rPr>
              <w:t>日期：</w:t>
            </w:r>
          </w:p>
        </w:tc>
      </w:tr>
    </w:tbl>
    <w:p w14:paraId="7C65EE54">
      <w:pPr>
        <w:pStyle w:val="10"/>
        <w:numPr>
          <w:ilvl w:val="0"/>
          <w:numId w:val="1"/>
        </w:numPr>
        <w:spacing w:line="360" w:lineRule="exact"/>
        <w:ind w:firstLineChars="0"/>
        <w:rPr>
          <w:color w:val="auto"/>
          <w:sz w:val="18"/>
          <w:szCs w:val="18"/>
        </w:rPr>
      </w:pPr>
      <w:r>
        <w:rPr>
          <w:rFonts w:hint="eastAsia"/>
          <w:color w:val="auto"/>
          <w:sz w:val="18"/>
          <w:szCs w:val="18"/>
        </w:rPr>
        <w:t>本合同自双方盖章之日起生效。未尽事宜，双方可另行签订补充协议。补充协议与本协议具有同等效力，补充协议与本协议冲突时，以补充协议为准。本协议一式两份，甲</w:t>
      </w:r>
      <w:r>
        <w:rPr>
          <w:rFonts w:hint="eastAsia"/>
          <w:color w:val="auto"/>
          <w:sz w:val="18"/>
          <w:szCs w:val="18"/>
          <w:lang w:eastAsia="zh-CN"/>
        </w:rPr>
        <w:t>、</w:t>
      </w:r>
      <w:r>
        <w:rPr>
          <w:rFonts w:hint="eastAsia"/>
          <w:color w:val="auto"/>
          <w:sz w:val="18"/>
          <w:szCs w:val="18"/>
        </w:rPr>
        <w:t>乙双方各执一份。</w:t>
      </w:r>
      <w:r>
        <w:rPr>
          <w:rFonts w:hint="eastAsia"/>
          <w:color w:val="auto"/>
          <w:sz w:val="18"/>
          <w:szCs w:val="18"/>
          <w:lang w:val="en-US" w:eastAsia="zh-CN"/>
        </w:rPr>
        <w:t>本合同的</w:t>
      </w:r>
      <w:r>
        <w:rPr>
          <w:rFonts w:hint="eastAsia"/>
          <w:color w:val="auto"/>
          <w:sz w:val="18"/>
          <w:szCs w:val="18"/>
        </w:rPr>
        <w:t>传真件、复印件有效</w:t>
      </w:r>
      <w:r>
        <w:rPr>
          <w:rFonts w:hint="eastAsia"/>
          <w:color w:val="auto"/>
          <w:sz w:val="18"/>
          <w:szCs w:val="18"/>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5F1BF4"/>
    <w:multiLevelType w:val="multilevel"/>
    <w:tmpl w:val="415F1BF4"/>
    <w:lvl w:ilvl="0" w:tentative="0">
      <w:start w:val="1"/>
      <w:numFmt w:val="japaneseCounting"/>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ZiNmMwYzY2ZjhmZGJkMmFiYTEwZjQzMWEyN2UxNWQifQ=="/>
  </w:docVars>
  <w:rsids>
    <w:rsidRoot w:val="007129E7"/>
    <w:rsid w:val="00041092"/>
    <w:rsid w:val="00063539"/>
    <w:rsid w:val="000B13B7"/>
    <w:rsid w:val="000B1F8E"/>
    <w:rsid w:val="000B429D"/>
    <w:rsid w:val="000D4B83"/>
    <w:rsid w:val="000E1E65"/>
    <w:rsid w:val="001356D7"/>
    <w:rsid w:val="00143F92"/>
    <w:rsid w:val="00170B44"/>
    <w:rsid w:val="001F6E51"/>
    <w:rsid w:val="002329BD"/>
    <w:rsid w:val="002358B5"/>
    <w:rsid w:val="00263380"/>
    <w:rsid w:val="00272571"/>
    <w:rsid w:val="002871B2"/>
    <w:rsid w:val="00291D19"/>
    <w:rsid w:val="002975D6"/>
    <w:rsid w:val="002E2B75"/>
    <w:rsid w:val="002F575A"/>
    <w:rsid w:val="0031227C"/>
    <w:rsid w:val="0031796A"/>
    <w:rsid w:val="0033497F"/>
    <w:rsid w:val="00386A6E"/>
    <w:rsid w:val="003A69B1"/>
    <w:rsid w:val="003D21BA"/>
    <w:rsid w:val="003D3FBA"/>
    <w:rsid w:val="003D7B75"/>
    <w:rsid w:val="004003FC"/>
    <w:rsid w:val="0041339B"/>
    <w:rsid w:val="004210DB"/>
    <w:rsid w:val="004674DC"/>
    <w:rsid w:val="004714A8"/>
    <w:rsid w:val="00484444"/>
    <w:rsid w:val="00491325"/>
    <w:rsid w:val="004C42FA"/>
    <w:rsid w:val="004E4277"/>
    <w:rsid w:val="004F4DD7"/>
    <w:rsid w:val="00515978"/>
    <w:rsid w:val="00533066"/>
    <w:rsid w:val="00580C94"/>
    <w:rsid w:val="0059156C"/>
    <w:rsid w:val="00591D52"/>
    <w:rsid w:val="005A6058"/>
    <w:rsid w:val="005A608F"/>
    <w:rsid w:val="005C0575"/>
    <w:rsid w:val="005C7C00"/>
    <w:rsid w:val="005D4DC3"/>
    <w:rsid w:val="005E4F1A"/>
    <w:rsid w:val="00617EE2"/>
    <w:rsid w:val="00637419"/>
    <w:rsid w:val="00653884"/>
    <w:rsid w:val="00661E16"/>
    <w:rsid w:val="00681FC9"/>
    <w:rsid w:val="006B4753"/>
    <w:rsid w:val="006B560E"/>
    <w:rsid w:val="006B64A4"/>
    <w:rsid w:val="006E31D4"/>
    <w:rsid w:val="006F3723"/>
    <w:rsid w:val="007064B4"/>
    <w:rsid w:val="007129E7"/>
    <w:rsid w:val="007153A4"/>
    <w:rsid w:val="0072008D"/>
    <w:rsid w:val="007667E8"/>
    <w:rsid w:val="00786F2D"/>
    <w:rsid w:val="00792439"/>
    <w:rsid w:val="007C1AC0"/>
    <w:rsid w:val="007E4DD1"/>
    <w:rsid w:val="00823077"/>
    <w:rsid w:val="0084442E"/>
    <w:rsid w:val="0084571B"/>
    <w:rsid w:val="0088118F"/>
    <w:rsid w:val="008A6369"/>
    <w:rsid w:val="008F7DDF"/>
    <w:rsid w:val="00981C0D"/>
    <w:rsid w:val="009A18D6"/>
    <w:rsid w:val="009A52CB"/>
    <w:rsid w:val="009A5565"/>
    <w:rsid w:val="009D7C13"/>
    <w:rsid w:val="009D7C8B"/>
    <w:rsid w:val="00A04036"/>
    <w:rsid w:val="00A1201A"/>
    <w:rsid w:val="00A217D0"/>
    <w:rsid w:val="00A84F92"/>
    <w:rsid w:val="00A97135"/>
    <w:rsid w:val="00AA258F"/>
    <w:rsid w:val="00AB251B"/>
    <w:rsid w:val="00AD0AD1"/>
    <w:rsid w:val="00AE1607"/>
    <w:rsid w:val="00B05980"/>
    <w:rsid w:val="00B1648D"/>
    <w:rsid w:val="00B529AA"/>
    <w:rsid w:val="00B627C0"/>
    <w:rsid w:val="00B85470"/>
    <w:rsid w:val="00B9472A"/>
    <w:rsid w:val="00BA2A8F"/>
    <w:rsid w:val="00BA3848"/>
    <w:rsid w:val="00BD4CBA"/>
    <w:rsid w:val="00BE3BE4"/>
    <w:rsid w:val="00C2104B"/>
    <w:rsid w:val="00C263AD"/>
    <w:rsid w:val="00C774B0"/>
    <w:rsid w:val="00CA7C18"/>
    <w:rsid w:val="00CB675B"/>
    <w:rsid w:val="00CC17FB"/>
    <w:rsid w:val="00CC50FF"/>
    <w:rsid w:val="00D42A64"/>
    <w:rsid w:val="00D578E9"/>
    <w:rsid w:val="00D657ED"/>
    <w:rsid w:val="00D92DF6"/>
    <w:rsid w:val="00DA46C8"/>
    <w:rsid w:val="00DC3A0E"/>
    <w:rsid w:val="00DE5C46"/>
    <w:rsid w:val="00DF3882"/>
    <w:rsid w:val="00DF435C"/>
    <w:rsid w:val="00DF7A7F"/>
    <w:rsid w:val="00E25863"/>
    <w:rsid w:val="00E43455"/>
    <w:rsid w:val="00E91787"/>
    <w:rsid w:val="00ED3049"/>
    <w:rsid w:val="00EE4FA8"/>
    <w:rsid w:val="00F1248C"/>
    <w:rsid w:val="00F15A0F"/>
    <w:rsid w:val="00F27656"/>
    <w:rsid w:val="00F45ACE"/>
    <w:rsid w:val="00FB79F3"/>
    <w:rsid w:val="00FC6AB3"/>
    <w:rsid w:val="02441BC7"/>
    <w:rsid w:val="05773D20"/>
    <w:rsid w:val="0E1E5AF2"/>
    <w:rsid w:val="16CF78AF"/>
    <w:rsid w:val="1A0E516E"/>
    <w:rsid w:val="1F322050"/>
    <w:rsid w:val="22653D0F"/>
    <w:rsid w:val="26673DCD"/>
    <w:rsid w:val="275D3B06"/>
    <w:rsid w:val="322523FF"/>
    <w:rsid w:val="38404B25"/>
    <w:rsid w:val="3EAE098E"/>
    <w:rsid w:val="3FDD4013"/>
    <w:rsid w:val="411D42C2"/>
    <w:rsid w:val="41C22022"/>
    <w:rsid w:val="41CE4901"/>
    <w:rsid w:val="43FF4B15"/>
    <w:rsid w:val="47197F94"/>
    <w:rsid w:val="4B65134C"/>
    <w:rsid w:val="525F4F95"/>
    <w:rsid w:val="55E270B9"/>
    <w:rsid w:val="5BC513AA"/>
    <w:rsid w:val="5CD0100B"/>
    <w:rsid w:val="616E4C68"/>
    <w:rsid w:val="633714A2"/>
    <w:rsid w:val="78E57777"/>
    <w:rsid w:val="7B464B2A"/>
    <w:rsid w:val="7CA95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autoRedefine/>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autoRedefine/>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6">
    <w:name w:val="Table Grid"/>
    <w:basedOn w:val="5"/>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8">
    <w:name w:val="页眉 Char"/>
    <w:basedOn w:val="7"/>
    <w:link w:val="3"/>
    <w:autoRedefine/>
    <w:semiHidden/>
    <w:qFormat/>
    <w:uiPriority w:val="99"/>
    <w:rPr>
      <w:sz w:val="18"/>
      <w:szCs w:val="18"/>
    </w:rPr>
  </w:style>
  <w:style w:type="character" w:customStyle="1" w:styleId="9">
    <w:name w:val="页脚 Char"/>
    <w:basedOn w:val="7"/>
    <w:link w:val="2"/>
    <w:autoRedefine/>
    <w:semiHidden/>
    <w:qFormat/>
    <w:uiPriority w:val="99"/>
    <w:rPr>
      <w:sz w:val="18"/>
      <w:szCs w:val="18"/>
    </w:rPr>
  </w:style>
  <w:style w:type="paragraph" w:styleId="1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87817-2C06-4A1A-ACED-9810A9152F11}">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2</Pages>
  <Words>1423</Words>
  <Characters>1477</Characters>
  <Lines>12</Lines>
  <Paragraphs>3</Paragraphs>
  <TotalTime>0</TotalTime>
  <ScaleCrop>false</ScaleCrop>
  <LinksUpToDate>false</LinksUpToDate>
  <CharactersWithSpaces>1630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2021-03-05T02:25:00Z</dcterms:created>
  <dc:creator>杨慧</dc:creator>
  <cp:lastModifiedBy>小慧</cp:lastModifiedBy>
  <cp:lastPrinted>2023-03-28T05:18:00Z</cp:lastPrinted>
  <dcterms:modified xsi:type="dcterms:W3CDTF">2026-07-21T00:44:29Z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AAF9014033CF42DF87CB86A03203EE97</vt:lpwstr>
  </property>
  <property fmtid="{D5CDD505-2E9C-101B-9397-08002B2CF9AE}" pid="4" name="KSOTemplateDocerSaveRecord">
    <vt:lpwstr>eyJoZGlkIjoiMmNjNWQ0ZjE1ZjUyNGJjNmRhZTJkNzIwNzA2MmNiN2UiLCJ1c2VySWQiOiIzMDMyNDkzMDMifQ==</vt:lpwstr>
  </property>
</Properties>
</file>